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13 309 vom 30. Januar 2014</w:t>
      </w:r>
    </w:p>
    <w:p>
      <w:r>
        <w:t>BL Gerichte, 2014-01-30, DE</w:t>
      </w:r>
    </w:p>
    <w:p>
      <w:r>
        <w:rPr>
          <w:b/>
        </w:rPr>
        <w:t xml:space="preserve">Quelle: </w:t>
      </w:r>
      <w:r>
        <w:t>https://mcp.opencaselaw.ch/entscheid/bl_gerichte_720 13 309</w:t>
      </w:r>
    </w:p>
    <w:p>
      <w:r>
        <w:t>FR: BL_GERICHTE 720 13 309 du 30 janvier 2014</w:t>
      </w:r>
    </w:p>
    <w:p>
      <w:r>
        <w:t>IT: BL_GERICHTE 720 13 309 del 30 gennaio 2014</w:t>
      </w:r>
    </w:p>
    <w:p>
      <w:pPr>
        <w:pStyle w:val="Heading2"/>
      </w:pPr>
      <w:r>
        <w:t>Regeste</w:t>
      </w:r>
    </w:p>
    <w:p>
      <w:r>
        <w:t>Hilfsmittel für B.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die angefochtene Verfügung vom 24. September 2013 aufgehoben und festgestellt, dass die IV-Stelle Basel-Landschaft die Kosten für den invaliditätsbedingten Umbau am Motorfahrzeug Mercedes Sprinter im Umfang von Fr. 25‘000.-- zu übernehmen hat.</w:t>
      </w:r>
    </w:p>
    <w:p>
      <w:r>
        <w:rPr>
          <w:b/>
        </w:rPr>
        <w:t>E. 2</w:t>
      </w:r>
    </w:p>
    <w:p>
      <w:r>
        <w:t>Es werden keine Verfahrenskosten erhoben. Den Beschwerdeführenden wird der geleistete Kostenvorschuss in der Höhe von Fr. 600.-- zurückerstattet.</w:t>
      </w:r>
    </w:p>
    <w:p>
      <w:r>
        <w:rPr>
          <w:b/>
        </w:rPr>
        <w:t>E. 3</w:t>
      </w:r>
    </w:p>
    <w:p>
      <w:r>
        <w:t>Die Beschwerdegegnerin hat den Beschwerdeführenden eine Parteientschädigung in der Höhe von Fr. 4‘264.50 (inkl. Auslagen und 8 %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